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Superintendencia de Seguridad Siniestral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139700</wp:posOffset>
                </wp:positionV>
                <wp:extent cx="6115685" cy="427338"/>
                <wp:effectExtent b="0" l="0" r="0" t="0"/>
                <wp:wrapTopAndBottom distB="0" distT="0"/>
                <wp:docPr id="4" name=""/>
                <a:graphic>
                  <a:graphicData uri="http://schemas.microsoft.com/office/word/2010/wordprocessingGroup">
                    <wpg:wgp>
                      <wpg:cNvGrpSpPr/>
                      <wpg:grpSpPr>
                        <a:xfrm>
                          <a:off x="2288150" y="3575825"/>
                          <a:ext cx="6115685" cy="427338"/>
                          <a:chOff x="2288150" y="3575825"/>
                          <a:chExt cx="6115700" cy="408350"/>
                        </a:xfrm>
                      </wpg:grpSpPr>
                      <wpg:grpSp>
                        <wpg:cNvGrpSpPr/>
                        <wpg:grpSpPr>
                          <a:xfrm>
                            <a:off x="2288158" y="3575828"/>
                            <a:ext cx="6115685" cy="408345"/>
                            <a:chOff x="2288150" y="3585675"/>
                            <a:chExt cx="6115700" cy="388650"/>
                          </a:xfrm>
                        </wpg:grpSpPr>
                        <wps:wsp>
                          <wps:cNvSpPr/>
                          <wps:cNvPr id="3" name="Shape 3"/>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5" name="Shape 5"/>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7" name="Shape 7"/>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9" name="Shape 9"/>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81.00000381469727"/>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incendios estructurales.</w:t>
                                    </w:r>
                                  </w:p>
                                </w:txbxContent>
                              </wps:txbx>
                              <wps:bodyPr anchorCtr="0" anchor="t" bIns="0" lIns="0" spcFirstLastPara="1" rIns="0" wrap="square" tIns="0">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139700</wp:posOffset>
                </wp:positionV>
                <wp:extent cx="6115685" cy="427338"/>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427338"/>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La capacitación se orientará en la formación del personal recién ingresado a la especialidad, brindándole las primeras herramientas para poder comenzar su recorrido en la Dirección de Bomberos; esta propuesta se basa en el incremento sostenido de las estadísticas en incendios de estructuras, como así también los avances tecnológicos en la construcción de viviendas, debiendo conocer las diversas formas de construcción y los materiales constructivos que modifican el accionar del bombero.</w:t>
      </w:r>
    </w:p>
    <w:p w:rsidR="00000000" w:rsidDel="00000000" w:rsidP="00000000" w:rsidRDefault="00000000" w:rsidRPr="00000000" w14:paraId="00000005">
      <w:pPr>
        <w:tabs>
          <w:tab w:val="left" w:leader="none" w:pos="284"/>
        </w:tabs>
        <w:spacing w:line="360" w:lineRule="auto"/>
        <w:ind w:left="2" w:hanging="2"/>
        <w:jc w:val="both"/>
        <w:rPr>
          <w:rFonts w:ascii="Arial" w:cs="Arial" w:eastAsia="Arial" w:hAnsi="Arial"/>
        </w:rPr>
      </w:pPr>
      <w:r w:rsidDel="00000000" w:rsidR="00000000" w:rsidRPr="00000000">
        <w:rPr>
          <w:rFonts w:ascii="Arial" w:cs="Arial" w:eastAsia="Arial" w:hAnsi="Arial"/>
          <w:color w:val="00000a"/>
          <w:rtl w:val="0"/>
        </w:rPr>
        <w:t xml:space="preserve">A través de esta propuesta se le brindará al cursante el primer acercamiento a la Especialidad, en los contenidos que parten desde la química básica del fuego, explicando cómo se genera, se propaga y se extingue, también se acercará al cursante al contenido en primeros auxilios que delimitan los efectos que pueden generar a nivel sanitario los diferentes productos de la combustión incompleta generada en los incendios, y por las consecuencias a nivel estructural que puede generar complicaciones en las tareas operativas del bombero, ya sea en construcciones domiciliarias como así también en construcciones multifamiliares</w:t>
      </w:r>
      <w:r w:rsidDel="00000000" w:rsidR="00000000" w:rsidRPr="00000000">
        <w:rPr>
          <w:rFonts w:ascii="Arial" w:cs="Arial" w:eastAsia="Arial" w:hAnsi="Arial"/>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8">
      <w:pPr>
        <w:tabs>
          <w:tab w:val="left" w:leader="none" w:pos="284"/>
        </w:tabs>
        <w:spacing w:line="360" w:lineRule="auto"/>
        <w:ind w:left="2" w:hanging="2"/>
        <w:jc w:val="both"/>
        <w:rPr>
          <w:rFonts w:ascii="Arial" w:cs="Arial" w:eastAsia="Arial" w:hAnsi="Arial"/>
        </w:rPr>
      </w:pPr>
      <w:r w:rsidDel="00000000" w:rsidR="00000000" w:rsidRPr="00000000">
        <w:rPr>
          <w:rFonts w:ascii="Arial" w:cs="Arial" w:eastAsia="Arial" w:hAnsi="Arial"/>
          <w:rtl w:val="0"/>
        </w:rPr>
        <w:t xml:space="preserve">La propuesta estará destinada a </w:t>
      </w:r>
      <w:r w:rsidDel="00000000" w:rsidR="00000000" w:rsidRPr="00000000">
        <w:rPr>
          <w:rFonts w:ascii="Times New Roman" w:cs="Times New Roman" w:eastAsia="Times New Roman" w:hAnsi="Times New Roman"/>
          <w:rtl w:val="0"/>
        </w:rPr>
        <w:t xml:space="preserve">p</w:t>
      </w:r>
      <w:r w:rsidDel="00000000" w:rsidR="00000000" w:rsidRPr="00000000">
        <w:rPr>
          <w:rFonts w:ascii="Arial" w:cs="Arial" w:eastAsia="Arial" w:hAnsi="Arial"/>
          <w:rtl w:val="0"/>
        </w:rPr>
        <w:t xml:space="preserve">ersonal perteneciente a la Dirección de Bomberos de la Superintendencia de Seguridad Siniestral de las </w:t>
      </w:r>
      <w:r w:rsidDel="00000000" w:rsidR="00000000" w:rsidRPr="00000000">
        <w:rPr>
          <w:rFonts w:ascii="Times New Roman" w:cs="Times New Roman" w:eastAsia="Times New Roman" w:hAnsi="Times New Roman"/>
          <w:rtl w:val="0"/>
        </w:rPr>
        <w:t xml:space="preserve">Policías</w:t>
      </w:r>
      <w:r w:rsidDel="00000000" w:rsidR="00000000" w:rsidRPr="00000000">
        <w:rPr>
          <w:rFonts w:ascii="Arial" w:cs="Arial" w:eastAsia="Arial" w:hAnsi="Arial"/>
          <w:rtl w:val="0"/>
        </w:rPr>
        <w:t xml:space="preserve"> de la provincia de Buenos Aires. </w:t>
      </w:r>
    </w:p>
    <w:p w:rsidR="00000000" w:rsidDel="00000000" w:rsidP="00000000" w:rsidRDefault="00000000" w:rsidRPr="00000000" w14:paraId="00000009">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horas reloj.</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rtl w:val="0"/>
        </w:rPr>
        <w:t xml:space="preserve">edición.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19/03/25 al 02/07/25.</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25.</w:t>
      </w:r>
    </w:p>
    <w:p w:rsidR="00000000" w:rsidDel="00000000" w:rsidP="00000000" w:rsidRDefault="00000000" w:rsidRPr="00000000" w14:paraId="0000001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Capacitaciondireccionbomberos@gmail.com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f+JPLyvtilHuIVYIhHyxg7JTg==">CgMxLjA4AHIhMWI3eG9xQW9qZDZCek5SVDRoQTlMT2VFLWxYSnltbjJf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